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/>
        <w:ind w:left="120" w:firstLine="0"/>
        <w:jc w:val="center"/>
      </w:pPr>
      <w:bookmarkStart w:id="0" w:name="block-3485424"/>
      <w:r>
        <w:rPr>
          <w:rFonts w:ascii="Times New Roman" w:hAnsi="Times New Roman"/>
          <w:b/>
          <w:i w:val="0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/>
        <w:ind w:left="120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Ленинградская область</w:t>
      </w:r>
    </w:p>
    <w:p>
      <w:pPr>
        <w:spacing w:before="0" w:after="0"/>
        <w:ind w:left="120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Тосненский район</w:t>
      </w:r>
    </w:p>
    <w:p>
      <w:pPr>
        <w:spacing w:before="0" w:after="0"/>
        <w:ind w:left="120" w:firstLine="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‌Муниципальное казенное общеобразовательное учреждение‌‌ </w:t>
      </w:r>
    </w:p>
    <w:p>
      <w:pPr>
        <w:spacing w:before="0" w:after="0"/>
        <w:ind w:left="120" w:firstLine="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‌‌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 "Ульяновская средняя общеобразовательная школа №1"</w:t>
      </w:r>
    </w:p>
    <w:p>
      <w:pPr>
        <w:spacing w:before="0" w:after="0"/>
        <w:ind w:left="120" w:firstLine="0"/>
        <w:jc w:val="left"/>
      </w:pPr>
    </w:p>
    <w:tbl>
      <w:tblPr>
        <w:tblStyle w:val="7"/>
        <w:tblW w:w="9825" w:type="dxa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8"/>
        <w:gridCol w:w="5367"/>
      </w:tblGrid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Рассмотрено 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Методическом совете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протокол №1 от 01.09.2023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Иванова Л. А</w:t>
            </w: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Утверждено</w:t>
            </w:r>
          </w:p>
          <w:p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приказом по школе</w:t>
            </w:r>
          </w:p>
          <w:p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67 от 01.09.2023</w:t>
            </w:r>
          </w:p>
        </w:tc>
      </w:tr>
    </w:tbl>
    <w:p>
      <w:pPr>
        <w:spacing w:after="0"/>
        <w:ind w:left="120"/>
      </w:pPr>
      <w:bookmarkStart w:id="9" w:name="_GoBack"/>
      <w:bookmarkEnd w:id="9"/>
    </w:p>
    <w:p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>
      <w:pPr>
        <w:spacing w:after="0"/>
        <w:ind w:left="120"/>
      </w:pPr>
    </w:p>
    <w:p>
      <w:pPr>
        <w:spacing w:after="0"/>
        <w:ind w:left="120"/>
      </w:pPr>
    </w:p>
    <w:p>
      <w:pPr>
        <w:spacing w:after="0"/>
        <w:ind w:left="120"/>
      </w:pPr>
    </w:p>
    <w:p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497365)</w:t>
      </w:r>
    </w:p>
    <w:p>
      <w:pPr>
        <w:spacing w:after="0"/>
        <w:ind w:left="120"/>
        <w:jc w:val="center"/>
      </w:pPr>
    </w:p>
    <w:p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курса «Вероятность и статистика»</w:t>
      </w:r>
    </w:p>
    <w:p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7-9 классов </w:t>
      </w: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‌ ‌</w:t>
      </w:r>
      <w:r>
        <w:rPr>
          <w:rFonts w:ascii="Times New Roman" w:hAnsi="Times New Roman"/>
          <w:color w:val="000000"/>
          <w:sz w:val="28"/>
        </w:rPr>
        <w:t>​</w:t>
      </w:r>
    </w:p>
    <w:p>
      <w:pPr>
        <w:spacing w:after="0"/>
        <w:ind w:left="120"/>
      </w:pPr>
    </w:p>
    <w:p>
      <w:p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0"/>
    <w:p>
      <w:pPr>
        <w:spacing w:after="0" w:line="264" w:lineRule="auto"/>
        <w:ind w:left="120"/>
        <w:jc w:val="both"/>
      </w:pPr>
      <w:bookmarkStart w:id="1" w:name="block-3485423"/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‌‌‌</w:t>
      </w:r>
      <w:bookmarkStart w:id="2" w:name="b3c9237e-6172-48ee-b1c7-f6774da89513"/>
      <w:r>
        <w:rPr>
          <w:rFonts w:ascii="Times New Roman" w:hAnsi="Times New Roman"/>
          <w:color w:val="000000"/>
          <w:sz w:val="28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2"/>
      <w:r>
        <w:rPr>
          <w:rFonts w:ascii="Times New Roman" w:hAnsi="Times New Roman"/>
          <w:color w:val="000000"/>
          <w:sz w:val="28"/>
        </w:rPr>
        <w:t>‌‌</w:t>
      </w:r>
    </w:p>
    <w:p>
      <w:p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1"/>
    <w:p>
      <w:pPr>
        <w:spacing w:after="0" w:line="264" w:lineRule="auto"/>
        <w:ind w:left="120"/>
        <w:jc w:val="both"/>
      </w:pPr>
      <w:bookmarkStart w:id="3" w:name="block-3485418"/>
      <w:r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Представление данных в виде таблиц, диаграмм, графиков.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рассеивания данных. Дисперсия и стандартное отклонение числовых наборов. Диаграмма рассеивания.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Геометрическая вероятность. Случайный выбор точки из фигуры на плоскости, из отрезка и из дуги окружности.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>
      <w:p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3"/>
    <w:p>
      <w:pPr>
        <w:spacing w:after="0" w:line="264" w:lineRule="auto"/>
        <w:ind w:left="120"/>
        <w:jc w:val="both"/>
      </w:pPr>
      <w:bookmarkStart w:id="4" w:name="block-3485419"/>
      <w:r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color w:val="000000"/>
          <w:sz w:val="28"/>
        </w:rPr>
        <w:t>освоения программы учебного курса «Вероятность и статистика» характеризуются: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firstLine="600"/>
        <w:jc w:val="both"/>
      </w:pPr>
      <w:bookmarkStart w:id="5" w:name="_Toc124426249"/>
      <w:bookmarkEnd w:id="5"/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и интерпретировать реальные числовые данные, представленные в таблицах, на диаграммах, графиках.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8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частоты числовых значений и частоты событий, в том числе по результатам измерений и наблюдений.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графические модели: дерево случайного эксперимента, диаграммы Эйлера, числовая прямая.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9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задачи организованным перебором вариантов, а также с использованием комбинаторных правил и методов.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случайной величине и о распределении вероятностей.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>
      <w:p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4"/>
    <w:p>
      <w:pPr>
        <w:spacing w:after="0"/>
        <w:ind w:left="120"/>
      </w:pPr>
      <w:bookmarkStart w:id="6" w:name="block-3485420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4526"/>
        <w:gridCol w:w="1598"/>
        <w:gridCol w:w="1745"/>
        <w:gridCol w:w="1829"/>
        <w:gridCol w:w="2798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"https://m.edsoo.ru/7f415fdc"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https://m.edsoo.ru/7f415fdc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"https://m.edsoo.ru/7f415fdc"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https://m.edsoo.ru/7f415fdc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"https://m.edsoo.ru/7f415fdc"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https://m.edsoo.ru/7f415fdc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"https://m.edsoo.ru/7f415fdc"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https://m.edsoo.ru/7f415fdc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"https://m.edsoo.ru/7f415fdc"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https://m.edsoo.ru/7f415fdc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"https://m.edsoo.ru/7f415fdc"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https://m.edsoo.ru/7f415fdc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4526"/>
        <w:gridCol w:w="1598"/>
        <w:gridCol w:w="1745"/>
        <w:gridCol w:w="1829"/>
        <w:gridCol w:w="2810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"https://m.edsoo.ru/7f417fb2"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https://m.edsoo.ru/7f417fb2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"https://m.edsoo.ru/7f417fb2"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https://m.edsoo.ru/7f417fb2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"https://m.edsoo.ru/7f417fb2"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https://m.edsoo.ru/7f417fb2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"https://m.edsoo.ru/7f417fb2"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https://m.edsoo.ru/7f417fb2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"https://m.edsoo.ru/7f417fb2"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https://m.edsoo.ru/7f417fb2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"https://m.edsoo.ru/7f417fb2"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https://m.edsoo.ru/7f417fb2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"https://m.edsoo.ru/7f417fb2"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https://m.edsoo.ru/7f417fb2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4526"/>
        <w:gridCol w:w="1598"/>
        <w:gridCol w:w="1745"/>
        <w:gridCol w:w="1829"/>
        <w:gridCol w:w="2834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"https://m.edsoo.ru/7f41a302"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https://m.edsoo.ru/7f41a302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"https://m.edsoo.ru/7f41a302"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https://m.edsoo.ru/7f41a302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"https://m.edsoo.ru/7f41a302"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https://m.edsoo.ru/7f41a302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"https://m.edsoo.ru/7f41a302"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https://m.edsoo.ru/7f41a302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"https://m.edsoo.ru/7f41a302"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https://m.edsoo.ru/7f41a302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"https://m.edsoo.ru/7f41a302"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https://m.edsoo.ru/7f41a302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bookmarkEnd w:id="6"/>
    <w:p>
      <w:pPr>
        <w:spacing w:after="0"/>
        <w:ind w:left="120"/>
      </w:pPr>
      <w:bookmarkStart w:id="7" w:name="block-3485421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4363"/>
        <w:gridCol w:w="1274"/>
        <w:gridCol w:w="1459"/>
        <w:gridCol w:w="1549"/>
        <w:gridCol w:w="1433"/>
        <w:gridCol w:w="2871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"https://m.edsoo.ru/863ec1f8"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https://m.edsoo.ru/863ec1f8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Практические вычисления по табличным данным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"https://m.edsoo.ru/863ec324"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https://m.edsoo.ru/863ec324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Извлечение и интерпретация табличных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"https://m.edsoo.ru/863ec78e"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https://m.edsoo.ru/863ec78e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"https://m.edsoo.ru/863ed18e"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https://m.edsoo.ru/863ed18e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"https://m.edsoo.ru/863ed602"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https://m.edsoo.ru/863ed602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"https://m.edsoo.ru/863ed72e"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https://m.edsoo.ru/863ed72e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"https://m.edsoo.ru/863ed846"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https://m.edsoo.ru/863ed846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"https://m.edsoo.ru/863ed846"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https://m.edsoo.ru/863ed846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"https://m.edsoo.ru/863edb3e"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https://m.edsoo.ru/863edb3e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"https://m.edsoo.ru/863edc6a"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https://m.edsoo.ru/863edc6a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"https://m.edsoo.ru/863ee07a"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https://m.edsoo.ru/863ee07a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Наибольшее и наименьшее значения числового набора. Размах. Контрольная работа за полугодие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"Представление данных. Описательная статистика"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"https://m.edsoo.ru/863ee390"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https://m.edsoo.ru/863ee390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"https://m.edsoo.ru/863ee4bc"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https://m.edsoo.ru/863ee4bc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Частота значений в массиве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"https://m.edsoo.ru/863ee69c"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https://m.edsoo.ru/863ee69c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"https://m.edsoo.ru/863ee9d0"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https://m.edsoo.ru/863ee9d0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"https://m.edsoo.ru/863eee1c"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https://m.edsoo.ru/863eee1c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"https://m.edsoo.ru/863eecc8"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https://m.edsoo.ru/863eecc8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Граф, вершина, ребро. Представление задачи с помощью графа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"https://m.edsoo.ru/863eef52"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https://m.edsoo.ru/863eef52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(валентность) вершины. Число рёбер и суммарная степень вершин. Цепь и цикл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"https://m.edsoo.ru/863ef0ba"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https://m.edsoo.ru/863ef0ba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Цепь и цикл. Путь в графе. Представление о связности графа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"https://m.edsoo.ru/863ef236"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https://m.edsoo.ru/863ef236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"https://m.edsoo.ru/863ef3b2"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https://m.edsoo.ru/863ef3b2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Случайный опыт и случайное событие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"https://m.edsoo.ru/863ef4d4"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https://m.edsoo.ru/863ef4d4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"https://m.edsoo.ru/863ef646"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https://m.edsoo.ru/863ef646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Монета и игральная кость в теории вероятностей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"Частота выпадения орла"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"https://m.edsoo.ru/863ef8a8"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https://m.edsoo.ru/863ef8a8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"Случайная изменчивость. Графы. Вероятность случайного события". Итоговая работа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"https://m.edsoo.ru/863f0186"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https://m.edsoo.ru/863f0186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"https://m.edsoo.ru/863efa24"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https://m.edsoo.ru/863efa24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"https://m.edsoo.ru/863efbaa"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https://m.edsoo.ru/863efbaa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Вероятность случайного события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"https://m.edsoo.ru/863efec0"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https://m.edsoo.ru/863efec0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4612"/>
        <w:gridCol w:w="1214"/>
        <w:gridCol w:w="1435"/>
        <w:gridCol w:w="1532"/>
        <w:gridCol w:w="1433"/>
        <w:gridCol w:w="2847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"https://m.edsoo.ru/863f029e"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https://m.edsoo.ru/863f029e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изменчивость. Средние числового набора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"https://m.edsoo.ru/863f03fc"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https://m.edsoo.ru/863f03fc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события. Вероятности и частоты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"https://m.edsoo.ru/863f0578"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https://m.edsoo.ru/863f0578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"https://m.edsoo.ru/863f076c"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https://m.edsoo.ru/863f076c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"https://m.edsoo.ru/863f0a50"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https://m.edsoo.ru/863f0a50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набора. Входная к.р.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"https://m.edsoo.ru/863f0a50"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https://m.edsoo.ru/863f0a50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"https://m.edsoo.ru/863f0bfe"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https://m.edsoo.ru/863f0bfe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"https://m.edsoo.ru/863f0ea6"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https://m.edsoo.ru/863f0ea6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"https://m.edsoo.ru/863f1180"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https://m.edsoo.ru/863f1180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множествами: объединение, пересечение, дополнение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"https://m.edsoo.ru/863f143c"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https://m.edsoo.ru/863f143c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"https://m.edsoo.ru/863f1784"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https://m.edsoo.ru/863f1784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"https://m.edsoo.ru/863f198c"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https://m.edsoo.ru/863f198c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"Статистика. Множества"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"https://m.edsoo.ru/863f1dec"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https://m.edsoo.ru/863f1dec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Благоприятствующие элементарные события. Вероятности событий. Контрольная работа за полугодие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"https://m.edsoo.ru/863f1dec"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https://m.edsoo.ru/863f1dec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"https://m.edsoo.ru/863f1f72"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https://m.edsoo.ru/863f1f72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"https://m.edsoo.ru/863f21ca"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https://m.edsoo.ru/863f21ca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"https://m.edsoo.ru/863f21ca"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https://m.edsoo.ru/863f21ca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"https://m.edsoo.ru/863f235a"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https://m.edsoo.ru/863f235a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"https://m.edsoo.ru/863f2a4e"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https://m.edsoo.ru/863f2a4e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"https://m.edsoo.ru/863f2bac"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https://m.edsoo.ru/863f2bac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"https://m.edsoo.ru/863f2cd8"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https://m.edsoo.ru/863f2cd8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"https://m.edsoo.ru/863f2e36"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https://m.edsoo.ru/863f2e36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"https://m.edsoo.ru/863f2f8a"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https://m.edsoo.ru/863f2f8a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Диаграмма Эйлера. Объединение и пересечение событий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"https://m.edsoo.ru/863f3214"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https://m.edsoo.ru/863f3214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"https://m.edsoo.ru/863f3372"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https://m.edsoo.ru/863f3372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"https://m.edsoo.ru/863f3764"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https://m.edsoo.ru/863f3764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"https://m.edsoo.ru/863f38ae"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https://m.edsoo.ru/863f38ae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"https://m.edsoo.ru/863f3b06"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https://m.edsoo.ru/863f3b06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"https://m.edsoo.ru/863f3cbe"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https://m.edsoo.ru/863f3cbe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"https://m.edsoo.ru/863f3f20"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https://m.edsoo.ru/863f3f20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данных. Описательная статистика. Итоговая работа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"https://m.edsoo.ru/863f4128"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https://m.edsoo.ru/863f4128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"https://m.edsoo.ru/863f4312"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https://m.edsoo.ru/863f4312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"Случайные события. Вероятность. Графы"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4467"/>
        <w:gridCol w:w="1330"/>
        <w:gridCol w:w="1522"/>
        <w:gridCol w:w="1614"/>
        <w:gridCol w:w="1150"/>
        <w:gridCol w:w="2847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"https://m.edsoo.ru/863f47ea"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https://m.edsoo.ru/863f47ea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"https://m.edsoo.ru/863f47ea"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https://m.edsoo.ru/863f47ea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"https://m.edsoo.ru/863f4e16"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https://m.edsoo.ru/863f4e16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"https://m.edsoo.ru/863f4e16"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https://m.edsoo.ru/863f4e16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"https://m.edsoo.ru/863f5014"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https://m.edsoo.ru/863f5014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"https://m.edsoo.ru/863f5208"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https://m.edsoo.ru/863f5208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"https://m.edsoo.ru/863f5884"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https://m.edsoo.ru/863f5884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"https://m.edsoo.ru/863f5a50"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https://m.edsoo.ru/863f5a50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"https://m.edsoo.ru/863f5bfe"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https://m.edsoo.ru/863f5bfe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"https://m.edsoo.ru/863f5e10"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https://m.edsoo.ru/863f5e10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"https://m.edsoo.ru/863f6162"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https://m.edsoo.ru/863f6162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"https://m.edsoo.ru/863f6356"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https://m.edsoo.ru/863f6356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"https://m.edsoo.ru/863f64d2"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https://m.edsoo.ru/863f64d2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"https://m.edsoo.ru/863f6680"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https://m.edsoo.ru/863f6680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"https://m.edsoo.ru/863f67de"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https://m.edsoo.ru/863f67de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 и 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"https://m.edsoo.ru/863f6b44"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https://m.edsoo.ru/863f6b44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"https://m.edsoo.ru/863f6da6"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https://m.edsoo.ru/863f6da6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"https://m.edsoo.ru/863f6f86"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https://m.edsoo.ru/863f6f86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"https://m.edsoo.ru/863f72c4"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https://m.edsoo.ru/863f72c4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"https://m.edsoo.ru/863f7652"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https://m.edsoo.ru/863f7652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"https://m.edsoo.ru/863f7116"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https://m.edsoo.ru/863f7116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"https://m.edsoo.ru/863f783c"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https://m.edsoo.ru/863f783c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Представление данных.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"https://m.edsoo.ru/863f893a"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https://m.edsoo.ru/863f893a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"https://m.edsoo.ru/863f7a4e"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https://m.edsoo.ru/863f7a4e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Вероятность случайного события. 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"https://m.edsoo.ru/863f7c9c"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https://m.edsoo.ru/863f7c9c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"https://m.edsoo.ru/863f7e54"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https://m.edsoo.ru/863f7e54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Элементы комбинаторики.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"https://m.edsoo.ru/863f8408"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https://m.edsoo.ru/863f8408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"https://m.edsoo.ru/863f861a"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https://m.edsoo.ru/863f861a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"https://m.edsoo.ru/863f8b56"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https://m.edsoo.ru/863f8b56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bookmarkEnd w:id="7"/>
    <w:p>
      <w:pPr>
        <w:spacing w:after="0"/>
        <w:ind w:left="120"/>
      </w:pPr>
      <w:bookmarkStart w:id="8" w:name="block-3485422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>
      <w:pPr>
        <w:spacing w:after="0"/>
        <w:ind w:left="120"/>
      </w:pPr>
    </w:p>
    <w:p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>
      <w:p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8"/>
    <w:p/>
    <w:sectPr>
      <w:pgSz w:w="11907" w:h="16839"/>
      <w:pgMar w:top="1440" w:right="1440" w:bottom="144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C464C5"/>
    <w:multiLevelType w:val="multilevel"/>
    <w:tmpl w:val="05C464C5"/>
    <w:lvl w:ilvl="0" w:tentative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24E9478D"/>
    <w:multiLevelType w:val="multilevel"/>
    <w:tmpl w:val="24E9478D"/>
    <w:lvl w:ilvl="0" w:tentative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33C24BDD"/>
    <w:multiLevelType w:val="multilevel"/>
    <w:tmpl w:val="33C24BDD"/>
    <w:lvl w:ilvl="0" w:tentative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">
    <w:nsid w:val="38A268E5"/>
    <w:multiLevelType w:val="multilevel"/>
    <w:tmpl w:val="38A268E5"/>
    <w:lvl w:ilvl="0" w:tentative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4">
    <w:nsid w:val="50A054C0"/>
    <w:multiLevelType w:val="multilevel"/>
    <w:tmpl w:val="50A054C0"/>
    <w:lvl w:ilvl="0" w:tentative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5">
    <w:nsid w:val="7738692D"/>
    <w:multiLevelType w:val="multilevel"/>
    <w:tmpl w:val="7738692D"/>
    <w:lvl w:ilvl="0" w:tentative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7EA"/>
    <w:rsid w:val="000B6D8A"/>
    <w:rsid w:val="007405B5"/>
    <w:rsid w:val="007D17EA"/>
    <w:rsid w:val="17C7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uiPriority="99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20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Normal Indent"/>
    <w:basedOn w:val="1"/>
    <w:unhideWhenUsed/>
    <w:uiPriority w:val="99"/>
    <w:pPr>
      <w:ind w:left="720"/>
    </w:p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2">
    <w:name w:val="header"/>
    <w:basedOn w:val="1"/>
    <w:link w:val="16"/>
    <w:unhideWhenUsed/>
    <w:uiPriority w:val="99"/>
    <w:pPr>
      <w:tabs>
        <w:tab w:val="center" w:pos="4680"/>
        <w:tab w:val="right" w:pos="9360"/>
      </w:tabs>
    </w:pPr>
  </w:style>
  <w:style w:type="paragraph" w:styleId="13">
    <w:name w:val="Title"/>
    <w:basedOn w:val="1"/>
    <w:next w:val="1"/>
    <w:link w:val="22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paragraph" w:styleId="14">
    <w:name w:val="Subtitle"/>
    <w:basedOn w:val="1"/>
    <w:next w:val="1"/>
    <w:link w:val="21"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table" w:styleId="15">
    <w:name w:val="Table Grid"/>
    <w:basedOn w:val="7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6">
    <w:name w:val="Верхний колонтитул Знак"/>
    <w:basedOn w:val="6"/>
    <w:link w:val="12"/>
    <w:uiPriority w:val="99"/>
  </w:style>
  <w:style w:type="character" w:customStyle="1" w:styleId="17">
    <w:name w:val="Заголовок 1 Знак"/>
    <w:basedOn w:val="6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8">
    <w:name w:val="Заголовок 2 Знак"/>
    <w:basedOn w:val="6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9">
    <w:name w:val="Заголовок 3 Знак"/>
    <w:basedOn w:val="6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0">
    <w:name w:val="Заголовок 4 Знак"/>
    <w:basedOn w:val="6"/>
    <w:link w:val="5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1">
    <w:name w:val="Подзаголовок Знак"/>
    <w:basedOn w:val="6"/>
    <w:link w:val="14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character" w:customStyle="1" w:styleId="22">
    <w:name w:val="Название Знак"/>
    <w:basedOn w:val="6"/>
    <w:link w:val="13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28</Pages>
  <Words>5527</Words>
  <Characters>31509</Characters>
  <Lines>262</Lines>
  <Paragraphs>73</Paragraphs>
  <TotalTime>0</TotalTime>
  <ScaleCrop>false</ScaleCrop>
  <LinksUpToDate>false</LinksUpToDate>
  <CharactersWithSpaces>36963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2023-10-30T19:35:00Z</dcterms:created>
  <dc:creator>Сергей</dc:creator>
  <cp:lastModifiedBy>учитель</cp:lastModifiedBy>
  <dcterms:modified xsi:type="dcterms:W3CDTF">2023-10-31T11:37:39Z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B5F52894C3094C8D89AA72EFDC8E612C_13</vt:lpwstr>
  </property>
</Properties>
</file>